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1B" w:rsidRDefault="00A16AF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Sindicato Estadual dos Profissionais de Educação do RJ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-542154</wp:posOffset>
            </wp:positionH>
            <wp:positionV relativeFrom="paragraph">
              <wp:posOffset>722</wp:posOffset>
            </wp:positionV>
            <wp:extent cx="1125361" cy="964079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361" cy="964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D1B" w:rsidRDefault="00A16AF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R: Evaristo da Veiga, 55, 7o/8o andares - Centro - Rio de Janeiro CEP 20031-040 - Tel.: 2195-0450.    </w:t>
      </w:r>
      <w:hyperlink r:id="rId5">
        <w:r>
          <w:rPr>
            <w:rFonts w:ascii="Arial" w:eastAsia="Arial" w:hAnsi="Arial" w:cs="Arial"/>
            <w:color w:val="0563C1"/>
            <w:u w:val="single"/>
          </w:rPr>
          <w:t>www.seperj.org.br</w:t>
        </w:r>
      </w:hyperlink>
    </w:p>
    <w:p w:rsidR="000A6D1B" w:rsidRDefault="00A16AF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Secretaria de aposentad@x 2022-2025 </w:t>
      </w:r>
    </w:p>
    <w:p w:rsidR="000A6D1B" w:rsidRDefault="00A16AF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Ata de reunião do  Coletivo estadual de Aposentadxs</w:t>
      </w:r>
    </w:p>
    <w:tbl>
      <w:tblPr>
        <w:tblStyle w:val="a"/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4251"/>
        <w:gridCol w:w="1556"/>
        <w:gridCol w:w="2552"/>
      </w:tblGrid>
      <w:tr w:rsidR="000A6D1B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Reunião  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Híbrida 4ª reunião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09/08/22</w:t>
            </w:r>
          </w:p>
        </w:tc>
      </w:tr>
      <w:tr w:rsidR="000A6D1B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SEPE RJ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9:30 h</w:t>
            </w:r>
          </w:p>
        </w:tc>
      </w:tr>
      <w:tr w:rsidR="000A6D1B">
        <w:trPr>
          <w:trHeight w:val="7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Pauta:</w:t>
            </w: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Informes do Jurídico;</w:t>
            </w: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Informes gerais;</w:t>
            </w: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Novos dados do Dieese/Previdência;</w:t>
            </w: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Campanha “Aposentadas e Aposentados também votam”;</w:t>
            </w: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Encontro Estadual dos Aposentados da Educação;</w:t>
            </w: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Segundo boletim específico </w:t>
            </w:r>
            <w:hyperlink r:id="rId6">
              <w:r>
                <w:rPr>
                  <w:rFonts w:ascii="Roboto" w:eastAsia="Roboto" w:hAnsi="Roboto" w:cs="Roboto"/>
                  <w:color w:val="000000"/>
                </w:rPr>
                <w:t>d@s</w:t>
              </w:r>
            </w:hyperlink>
            <w:r>
              <w:rPr>
                <w:rFonts w:ascii="Roboto" w:eastAsia="Roboto" w:hAnsi="Roboto" w:cs="Roboto"/>
                <w:color w:val="000000"/>
              </w:rPr>
              <w:t xml:space="preserve"> aposentad@s</w:t>
            </w: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Encaminhamentos.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A6D1B">
        <w:trPr>
          <w:trHeight w:val="4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Participantes: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SAP,  48 presentes e 15 on line.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Desse total, gostaríamos de começar a mapear número de diretores e base.</w:t>
            </w:r>
          </w:p>
        </w:tc>
      </w:tr>
      <w:tr w:rsidR="000A6D1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Assuntos debatidos: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reunião começou bastante atrasada.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Engarrafamentos e dificuldades com a reunião híbrida, que se estenderam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até o final da reunião.  O microfone também falhou a maior parte do tempo.   Agradecemos o esforço dos funcionários, Dirley e Fabiano,  com o equipa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mento que não pode ser preparado com a antecedência necessária porque estava emprestado para outra atividade.  Tudo muito precário ainda,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apesar de mais de dois anos com o formato em curso.  Estamos em fase de ajustes, tenhamos paciência,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mas persistência em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mudar o que não pode parecer impossível.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do jurídico: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Nova Escola Aposentad@s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Andamento: após o protocolo da petição conjunta, do ERJ e Sepe, juntando a planilha com os valores calculados pelo Sepe, atualizados na forma do novo acordo, o Juízo,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atendendo a solicitação das partes, determinou que fosse oficiada a Casa Civil para apresentação das contas bancárias e eventuais servidores falecidos relacionados aos beneficiários do acordo, fixando ao órgão o prazo de 15 dias a partir da intimação. O s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epe segue cobrando celeridade nesta apresentação das contas, assim como da confecção dos mandados.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(09/08/22)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Os demais informes debatidos na reunião seguem  sem atualizações:</w:t>
            </w:r>
          </w:p>
          <w:p w:rsidR="000A6D1B" w:rsidRDefault="00A16AFA">
            <w:pPr>
              <w:shd w:val="clear" w:color="auto" w:fill="FFFFFF"/>
              <w:jc w:val="both"/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Nova Escola Ativ@s </w:t>
            </w:r>
            <w:r>
              <w:rPr>
                <w:rFonts w:ascii="Arial" w:eastAsia="Arial" w:hAnsi="Arial" w:cs="Arial"/>
                <w:color w:val="222222"/>
              </w:rPr>
              <w:t>– servidores ativos no ano de 2002 participantes do programa –  2003 – o Estado promoveu recurso da decisão do Tribunal que conferiu razão ao Sepe no feito de execução utilizando-se a avaliação do ano anterior como paradigma de liquidação dos valores. Os r</w:t>
            </w:r>
            <w:r>
              <w:rPr>
                <w:rFonts w:ascii="Arial" w:eastAsia="Arial" w:hAnsi="Arial" w:cs="Arial"/>
                <w:color w:val="222222"/>
              </w:rPr>
              <w:t>ecursos, especial e extraordinário interpostos pelo Estado, foram inadmitidos pelo que interpuseram novo recurso a fim de que o STJ e STF se manifestem sobre o processo de execução. O recurso junto ao STJ foi inadmito e o processo falta ser remetido ao STF</w:t>
            </w:r>
            <w:r>
              <w:rPr>
                <w:rFonts w:ascii="Arial" w:eastAsia="Arial" w:hAnsi="Arial" w:cs="Arial"/>
                <w:color w:val="222222"/>
              </w:rPr>
              <w:t xml:space="preserve"> para análise do recurso extraordinário também interposto pelo Estado, seguimos trabalhando a planilha de execução para encaminhar os novos valores atualizados, conforme determinado pela última decisão, retirando os servidores que se manifestaram nos autos</w:t>
            </w:r>
            <w:r>
              <w:rPr>
                <w:rFonts w:ascii="Arial" w:eastAsia="Arial" w:hAnsi="Arial" w:cs="Arial"/>
                <w:color w:val="222222"/>
              </w:rPr>
              <w:t xml:space="preserve"> do processo pela renuncia ao feito coletivo, assim seguirão nesta listagem apenas os </w:t>
            </w:r>
            <w:r>
              <w:rPr>
                <w:rFonts w:ascii="Arial" w:eastAsia="Arial" w:hAnsi="Arial" w:cs="Arial"/>
                <w:color w:val="222222"/>
              </w:rPr>
              <w:lastRenderedPageBreak/>
              <w:t xml:space="preserve">filiados cadastrados, diante das execuções individuais conferidas por muitos servidores que assim desejaram, enquanto aguardamos o retorno dos autos e baixa  do processo </w:t>
            </w:r>
            <w:r>
              <w:rPr>
                <w:rFonts w:ascii="Arial" w:eastAsia="Arial" w:hAnsi="Arial" w:cs="Arial"/>
                <w:color w:val="222222"/>
              </w:rPr>
              <w:t>quanto aos referidos recursos extremos (em Brasília).</w:t>
            </w:r>
          </w:p>
          <w:p w:rsidR="000A6D1B" w:rsidRDefault="00A16AFA">
            <w:pPr>
              <w:widowControl/>
              <w:shd w:val="clear" w:color="auto" w:fill="FFFFFF"/>
              <w:jc w:val="both"/>
            </w:pPr>
            <w:r>
              <w:rPr>
                <w:rFonts w:ascii="Arial" w:eastAsia="Arial" w:hAnsi="Arial" w:cs="Arial"/>
                <w:b/>
                <w:color w:val="222222"/>
              </w:rPr>
              <w:t>Execução Interníveis</w:t>
            </w:r>
            <w:r>
              <w:rPr>
                <w:rFonts w:ascii="Arial" w:eastAsia="Arial" w:hAnsi="Arial" w:cs="Arial"/>
                <w:color w:val="222222"/>
              </w:rPr>
              <w:t xml:space="preserve"> – Professores enquadrados pelo Plano de Carreira da Lei Estadual nº 1614/90 – diferenças a receber no período de 98 a 2003 - promovidas 927 execuções individuais (O NÚMERO É FORNECI</w:t>
            </w:r>
            <w:r>
              <w:rPr>
                <w:rFonts w:ascii="Arial" w:eastAsia="Arial" w:hAnsi="Arial" w:cs="Arial"/>
                <w:color w:val="222222"/>
              </w:rPr>
              <w:t xml:space="preserve">DO DIRETAMENTE AO PROFESSOR PATROCINADO - PARTICULAR), servidores que não atenderam pendências solicitadas, comunicadas através do próprio email de envio da documentação, não foram distribuídos. Esgotamos a análise e distribuição de servidores filiados de </w:t>
            </w:r>
            <w:r>
              <w:rPr>
                <w:rFonts w:ascii="Arial" w:eastAsia="Arial" w:hAnsi="Arial" w:cs="Arial"/>
                <w:color w:val="222222"/>
              </w:rPr>
              <w:t>período recente (a partir de 2019) na ordem de filiados regulares. Os processos distribuídos seguem informados via email, através do email de cadastro em que recebemos a documentação, o que terá o servidor de aguardar seu número para consultar os desdobram</w:t>
            </w:r>
            <w:r>
              <w:rPr>
                <w:rFonts w:ascii="Arial" w:eastAsia="Arial" w:hAnsi="Arial" w:cs="Arial"/>
                <w:color w:val="222222"/>
              </w:rPr>
              <w:t>entos. Muitos já tiveram andamento, manifestação do Estado em execução e até homologação dos valores, assim terão de aguardar informe do número do precatório quando providenciado pelo Tribunal. Tivemos professores falecidos no curso do caminho e os herdeir</w:t>
            </w:r>
            <w:r>
              <w:rPr>
                <w:rFonts w:ascii="Arial" w:eastAsia="Arial" w:hAnsi="Arial" w:cs="Arial"/>
                <w:color w:val="222222"/>
              </w:rPr>
              <w:t>os, nestes casos individualizados, deverão ser habilitados para prosseguimento. Diante do acúmulo de feitos individuais, a consulta dos autos poderá ser acompanhada pelo próprio professor, esclarecimentos solicitados, por email, não poderão ser respondidos</w:t>
            </w:r>
            <w:r>
              <w:rPr>
                <w:rFonts w:ascii="Arial" w:eastAsia="Arial" w:hAnsi="Arial" w:cs="Arial"/>
                <w:color w:val="222222"/>
              </w:rPr>
              <w:t xml:space="preserve"> sem que haja motivo processual, pois o Sepe priorizará o contato apenas quando necessário em eventual despacho dos autos que necessite este atendimento em razão dos desdobramentos do processo.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Piso salarial e demais ações:</w:t>
            </w: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0563C1"/>
                  <w:highlight w:val="white"/>
                  <w:u w:val="single"/>
                </w:rPr>
                <w:t>https://seperj.org.br/relatorio-do-sepe-das-acoes-do-sindicato-na-justica/</w:t>
              </w:r>
            </w:hyperlink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Informes gerais:</w:t>
            </w: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11 de Agosto:  Dia d@s  estudantes:  ato contra bolsonaro e em defesa da Educação e da Democracia.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12 de Agosto:  Missa 7º dia companheiro Osmir Pereira: Paróquia de Santana,  Estrada do Medanha, 208, Campo Grande, às 19 h.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Calendário de 2022 das reuniões dos coletivos diagramado pela Regional I e distribuido.  Agradecemos imensamente a ajuda.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Segu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ndo boletim específico d@s aposentad@s sairá antes do dia 16 de Agosto.    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16 Agosto:  presença do Companheiro, Ulisses, para discutir a Previdência e aposentadoria na nossa reunião da Capital. Todas e todos convidad@s.  Tentaremos melhorar o formato híbrido.  Será às 14 h, SEPE RJ.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Alguns informes sobre as lutas pela defesa do Piso Nacional nos Municípios.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Pedido para disponibilização do funcionamentos de alguns Núcleos e Regionais que parecem ainda  “não ter tomado posse“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lastRenderedPageBreak/>
              <w:t>SAP:  circulares enviadas e reinviadas para os Núcleos e Re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gionais,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pedindo informações e até hoje sem respostas, apesar de muitas direções comparecerem às nossas reuniões.  Vamos tentar esse mapeamento até o próximo coletivo de 13 Setembro.  Chamamos atenção para a forma nada cordial como um grupo de aposentad@s t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em  cobrado o pagamento do Nova Escola.  O desespero não pode guiar a conduta entre companheir@s que lutam todos os dias.  Não há aqui lutadores de ocasião.  Há histórias que precisam ser respeitadas.   Temos assistido grosserias nas redes e não vamos comp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actar com isso.    Somos tod@s educadores, saibamos lidar com nossas diferenças.  Sobre o Processo Nova Escola para os aposentad@s o  SEPE faz a sua parte é o Governo que joga com a morosidade da justiça, piorada no período imenso da pandemia.   Estamos at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entos e fortes!   Não vão nos jogar para outros tempos como fizeram até há meses atrás com esse Processo.  Sem luta a justiça burguesa não nos atenderá, aprendemos sempre.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Ex-diretora do J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urídico lembra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que,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na gestão passada,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houve encaminhamento para r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eabertura do cadastro para ação dos Interníveis, sem prejuízo dos Processos já em andamento.   Chegou-se a essa proposta  por conta do período de pandemia e as inúmeras dificuldades da categoria em acompanhar tais procedimentos pela interenet.  E, ainda, c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hama atenção para a necessidade de fazer o mesmo com o Processo Nova Escola dos ativos tendo em vista que no dia 15 de Junho, na assinatura do segundo acordo do Nova Escola dos Aposentad@s, houve conversas sobre a possibilidade de darmos andamento em tal P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rocesso.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Conjuntura precisa estar na pauta de nossas reuniões!  Várias falas fizeram essa pontuação.  Estamos num ano de eleições.  Para alguns as eleições de nossas vidas, para outr@s só a luta muda a vida e para outros, ainda, não há antagonismos nas po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sições.  Esperamos continuar aprofundando esse debate porque precisamos colocar nossa campanha nas ruas e nas redes  “Aposentadas e aposentados também votam!“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Novamente foi cobrada a ampliação da vinda de aposentad@s às nossas reuniões.  Qual investimento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 Núcleos e Regionais têm feito com essa finalidade?   Como fazer para trazer a nova geração de aposentadas e aposentados para nossa luta?  Como funcionam e se organizam os Núcleos e Regionais...  Representantes de aposentad@s precisam ser regularizados.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Houve ponderações sobre a presença de aposentad@s reclamando do fora bolsonaro no ato do Palácio no dia 0 7.  Lembramos de que Bolsonaro nunca mais é uma bandeira desse sindicato independente de Governos e partidos.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o Encontro Estadual d@s apos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entados precisamos acumular mais discusões sobre locais – foram  apresentados Valença e Morro Azul – e dias em Dezembro – foram apresentados dias de semana e final de semana.   Decidiremos na próxima reunião.  Vamos tentar decidir esse encontro, depois de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anos isolados, com o maior número do coletivo.  Já para a logística, façamos uma comissão enxuta e representativa.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6D1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Encaminha-mentos e decisões: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Pagamento do Processo Nova Escola aposentadxs o mais rápido possível.  A categoria não pode mais esperar!  Sem  reajuste, sem Piso Nacional, a fome bate à porta daquelas e daqueles que deram a vida para Educação Pública.  Tiramos uma comissão para, na próx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ima terça-feira, dia 16, às 10 horas, fazermos uma visita à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Casa Civil para saber do andamento do Processo.  Comissão:  Secretaria de Aposentad@s, Cordenação Geral, companheiras Gesa e Penha.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 a possibilidade de reabertura dos Processos Nova Escola ati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vos e interníveis o mais rápido possível com uma chamada 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 Núcleos e Regionais.  Tod@s precisam ser informad@s, nenhum a menos, se a reabertura for possível.   Em nossas reuniões temos falado o quanto as informações privilegiadas são uma política equivocada, divisionista e rasteira além de  que não contribui 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nada com o fortalecimento da categoria e do nosso sindicato.   Desde a primeira reunião falamos em socializar o máximo as informações no nosso site.   A força está  na construção coletiva da política e não na dificuldade do acesso às informações por isso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precisamos de Imprensa, CPD, TICs céleres e eficientes, além de um jurídico sempre atento às manobras governistas.    Estrutura não pode emperrar a luta cada vez mais covarde.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Dia d@s Estudantes, 16 h Candelária e em todo Brasil. 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Aposentad@s participarão com panfleto (adaptar texto da conjuntura já tirada no seminário da direção), faixa (se conseguirmos a tempo).  Importante colocar o governador Cláudio Castro na roda.   Hora de mandar ambos embora.  Bolsonaro e Cláudio Castro nunc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 mais!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Comissão para o Encontro Estadual d@s aposentad@s:  1 cordenação geral, 1 tesoureira, 3 da SAP, 3 do coletivo estadual (Gesa, Penha e Loudes que reivindicou a Adelaide para seu lugar) e 3 coletivo capital (serão tirad@s no dia 16 de Agosto).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6D1B" w:rsidRDefault="00A16A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Novo</w:t>
            </w:r>
            <w:r>
              <w:rPr>
                <w:rFonts w:ascii="Roboto" w:eastAsia="Roboto" w:hAnsi="Roboto" w:cs="Roboto"/>
                <w:color w:val="000000"/>
              </w:rPr>
              <w:t>s dados do Dieese/Previdência disponibilizaremos no site e iniciaremos a análise  na reunião do coletivo da Capital, dia 16, às 14 h.  Formação é importante para conscientizar para nossas lutas e pautas históricas, numa conjuntura abjeta onde nada está gar</w:t>
            </w:r>
            <w:r>
              <w:rPr>
                <w:rFonts w:ascii="Roboto" w:eastAsia="Roboto" w:hAnsi="Roboto" w:cs="Roboto"/>
                <w:color w:val="000000"/>
              </w:rPr>
              <w:t xml:space="preserve">antido. 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Disponibilizaremos também na página do SEPE RJ, aba aposentad@s, nossa circular para o mapeamento do funcionamento e organização dos Núcleos e Regionais e seus coletivos de aposentad@s.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6D1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Próxima reunião</w:t>
            </w:r>
          </w:p>
          <w:p w:rsidR="000A6D1B" w:rsidRDefault="000A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1B" w:rsidRDefault="00A1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 de Setembro, híbrida, às 9;30</w:t>
            </w:r>
          </w:p>
        </w:tc>
      </w:tr>
    </w:tbl>
    <w:p w:rsidR="000A6D1B" w:rsidRDefault="000A6D1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bookmarkStart w:id="1" w:name="_gjdgxs" w:colFirst="0" w:colLast="0"/>
      <w:bookmarkEnd w:id="1"/>
    </w:p>
    <w:sectPr w:rsidR="000A6D1B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B"/>
    <w:rsid w:val="000A6D1B"/>
    <w:rsid w:val="00A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3EE7"/>
  <w15:docId w15:val="{F3244BDD-22F0-4D9D-81FC-055D926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perj.org.br/relatorio-do-sepe-das-acoes-do-sindicato-na-just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Imprensa-01-Usu</cp:lastModifiedBy>
  <cp:revision>2</cp:revision>
  <dcterms:created xsi:type="dcterms:W3CDTF">2022-08-11T15:52:00Z</dcterms:created>
  <dcterms:modified xsi:type="dcterms:W3CDTF">2022-08-11T16:01:00Z</dcterms:modified>
</cp:coreProperties>
</file>